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CF240">
      <w:pPr>
        <w:jc w:val="center"/>
        <w:rPr>
          <w:rFonts w:hint="eastAsia" w:asciiTheme="minorEastAsia" w:hAnsiTheme="minorEastAsia" w:cstheme="minorEastAsia"/>
          <w:sz w:val="44"/>
          <w:szCs w:val="44"/>
          <w:lang w:val="en-US" w:eastAsia="zh-CN"/>
        </w:rPr>
      </w:pP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强化营养指导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守护成长 “食” 光</w:t>
      </w:r>
    </w:p>
    <w:p w14:paraId="1D12B5B7">
      <w:pPr>
        <w:spacing w:line="240" w:lineRule="auto"/>
        <w:jc w:val="center"/>
        <w:rPr>
          <w:rFonts w:hint="eastAsia" w:asciiTheme="minorEastAsia" w:hAnsiTheme="minorEastAsia" w:eastAsiaTheme="minorEastAsia" w:cstheme="minorEastAsia"/>
          <w:sz w:val="30"/>
          <w:szCs w:val="30"/>
          <w:lang w:val="en-US" w:eastAsia="zh-CN"/>
        </w:rPr>
      </w:pPr>
      <w:r>
        <w:rPr>
          <w:rFonts w:hint="eastAsia" w:asciiTheme="minorEastAsia" w:hAnsiTheme="minorEastAsia" w:cstheme="minorEastAsia"/>
          <w:sz w:val="30"/>
          <w:szCs w:val="30"/>
          <w:lang w:val="en-US" w:eastAsia="zh-CN"/>
        </w:rPr>
        <w:t xml:space="preserve">         </w:t>
      </w:r>
      <w:r>
        <w:rPr>
          <w:rFonts w:hint="eastAsia" w:ascii="方正楷体_GB2312" w:hAnsi="方正楷体_GB2312" w:eastAsia="方正楷体_GB2312" w:cs="方正楷体_GB2312"/>
          <w:sz w:val="30"/>
          <w:szCs w:val="30"/>
          <w:lang w:val="en-US" w:eastAsia="zh-CN"/>
        </w:rPr>
        <w:t>——汉阳区中小学营养指导员培训简报</w:t>
      </w:r>
      <w:bookmarkStart w:id="0" w:name="_GoBack"/>
      <w:bookmarkEnd w:id="0"/>
    </w:p>
    <w:p w14:paraId="0EA06B28">
      <w:pPr>
        <w:spacing w:line="24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为深入贯彻落实国家关于中小学生营养健康的相关政策，提升中小学生膳食营养管理水平，促进学生健康成长。2025年6月18日，汉阳区教育局联合区卫健局、泰康同济（武汉）医院举办了全区中小学营养指导员专题培训。各学校分管领导、食堂工作人员、保健教师近100余人参加了此次培训。</w:t>
      </w:r>
    </w:p>
    <w:p w14:paraId="508BBE70">
      <w:pPr>
        <w:spacing w:line="240" w:lineRule="auto"/>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996180" cy="3727450"/>
            <wp:effectExtent l="0" t="0" r="13970" b="6350"/>
            <wp:docPr id="1" name="图片 1" descr="0fa3ccf5d1fff2153e48b33a0939c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a3ccf5d1fff2153e48b33a0939cea5"/>
                    <pic:cNvPicPr>
                      <a:picLocks noChangeAspect="1"/>
                    </pic:cNvPicPr>
                  </pic:nvPicPr>
                  <pic:blipFill>
                    <a:blip r:embed="rId4"/>
                    <a:stretch>
                      <a:fillRect/>
                    </a:stretch>
                  </pic:blipFill>
                  <pic:spPr>
                    <a:xfrm>
                      <a:off x="0" y="0"/>
                      <a:ext cx="4996180" cy="3727450"/>
                    </a:xfrm>
                    <a:prstGeom prst="rect">
                      <a:avLst/>
                    </a:prstGeom>
                  </pic:spPr>
                </pic:pic>
              </a:graphicData>
            </a:graphic>
          </wp:inline>
        </w:drawing>
      </w:r>
    </w:p>
    <w:p w14:paraId="2475BFE8">
      <w:pPr>
        <w:spacing w:line="24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青少年时期是身体发育和知识储备的关键阶段，合理的营养摄入对于学生的身体健康、学习效率和全面发展至关重要。本次培训由泰康同济（武汉）医院临床营养科郭小芳主任为大家授课。郭主任详细讲解了中小学生在不同生长阶段的营养需求特点。包括蛋白质、碳水化合物、脂肪、维生素和矿物质等营养素的合理摄入量。通过实例分析，阐述了如何根据学生的年龄、性别、身体活动水平等因素制定科学的膳食计划，强调了食物多样性和均衡饮食的重要性。例如，建议每天保证学生碳水化合物、蛋白质、脂肪的协同配比（50%-65%、10%-20%、20%-30%）等宝贵意见。</w:t>
      </w:r>
    </w:p>
    <w:p w14:paraId="3DEC2B08">
      <w:pPr>
        <w:spacing w:line="240" w:lineRule="auto"/>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358765" cy="3289935"/>
            <wp:effectExtent l="0" t="0" r="635" b="12065"/>
            <wp:docPr id="2" name="图片 2" descr="aa8dff582f1bd456f956c32b337f4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8dff582f1bd456f956c32b337f4c63"/>
                    <pic:cNvPicPr>
                      <a:picLocks noChangeAspect="1"/>
                    </pic:cNvPicPr>
                  </pic:nvPicPr>
                  <pic:blipFill>
                    <a:blip r:embed="rId5"/>
                    <a:stretch>
                      <a:fillRect/>
                    </a:stretch>
                  </pic:blipFill>
                  <pic:spPr>
                    <a:xfrm>
                      <a:off x="0" y="0"/>
                      <a:ext cx="5358765" cy="328993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5363210" cy="3931285"/>
            <wp:effectExtent l="0" t="0" r="8890" b="5715"/>
            <wp:docPr id="4" name="图片 4" descr="0372bfd5b891ff0482e6bda6bc333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72bfd5b891ff0482e6bda6bc3336e8"/>
                    <pic:cNvPicPr>
                      <a:picLocks noChangeAspect="1"/>
                    </pic:cNvPicPr>
                  </pic:nvPicPr>
                  <pic:blipFill>
                    <a:blip r:embed="rId6"/>
                    <a:stretch>
                      <a:fillRect/>
                    </a:stretch>
                  </pic:blipFill>
                  <pic:spPr>
                    <a:xfrm>
                      <a:off x="0" y="0"/>
                      <a:ext cx="5363210" cy="3931285"/>
                    </a:xfrm>
                    <a:prstGeom prst="rect">
                      <a:avLst/>
                    </a:prstGeom>
                  </pic:spPr>
                </pic:pic>
              </a:graphicData>
            </a:graphic>
          </wp:inline>
        </w:drawing>
      </w:r>
    </w:p>
    <w:p w14:paraId="348F500A">
      <w:pPr>
        <w:spacing w:line="240" w:lineRule="auto"/>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19065" cy="3882390"/>
            <wp:effectExtent l="0" t="0" r="635" b="3810"/>
            <wp:docPr id="5" name="图片 5" descr="2e41ba04ace74d9ebec1f7ce52c34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41ba04ace74d9ebec1f7ce52c3442e"/>
                    <pic:cNvPicPr>
                      <a:picLocks noChangeAspect="1"/>
                    </pic:cNvPicPr>
                  </pic:nvPicPr>
                  <pic:blipFill>
                    <a:blip r:embed="rId7"/>
                    <a:stretch>
                      <a:fillRect/>
                    </a:stretch>
                  </pic:blipFill>
                  <pic:spPr>
                    <a:xfrm>
                      <a:off x="0" y="0"/>
                      <a:ext cx="5219065" cy="3882390"/>
                    </a:xfrm>
                    <a:prstGeom prst="rect">
                      <a:avLst/>
                    </a:prstGeom>
                  </pic:spPr>
                </pic:pic>
              </a:graphicData>
            </a:graphic>
          </wp:inline>
        </w:drawing>
      </w:r>
    </w:p>
    <w:p w14:paraId="03318745">
      <w:pPr>
        <w:spacing w:line="24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通过本次培训，参会人员对中小学生营养知识和食品卫生安全有了更全面、深入的了解，初步掌握了科学制定膳食计划、营养搭配、规范食品加工操作等技能规范。培训过程中设置了互动交流环节，参会人员就实际工作中遇到的问题与专家进行了深入探讨，学习氛围浓厚。</w:t>
      </w:r>
    </w:p>
    <w:p w14:paraId="2B5128BB">
      <w:pPr>
        <w:spacing w:line="240" w:lineRule="auto"/>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618105" cy="2390140"/>
            <wp:effectExtent l="0" t="0" r="10795" b="10160"/>
            <wp:docPr id="6" name="图片 6" descr="78de6cc6048f42b9440781ea067d6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de6cc6048f42b9440781ea067d6a67"/>
                    <pic:cNvPicPr>
                      <a:picLocks noChangeAspect="1"/>
                    </pic:cNvPicPr>
                  </pic:nvPicPr>
                  <pic:blipFill>
                    <a:blip r:embed="rId8"/>
                    <a:stretch>
                      <a:fillRect/>
                    </a:stretch>
                  </pic:blipFill>
                  <pic:spPr>
                    <a:xfrm>
                      <a:off x="0" y="0"/>
                      <a:ext cx="2618105" cy="2390140"/>
                    </a:xfrm>
                    <a:prstGeom prst="rect">
                      <a:avLst/>
                    </a:prstGeom>
                  </pic:spPr>
                </pic:pic>
              </a:graphicData>
            </a:graphic>
          </wp:inline>
        </w:drawing>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drawing>
          <wp:inline distT="0" distB="0" distL="114300" distR="114300">
            <wp:extent cx="2411730" cy="2396490"/>
            <wp:effectExtent l="0" t="0" r="1270" b="3810"/>
            <wp:docPr id="7" name="图片 7" descr="b5b7edaa9b4677f9bd95b0afd7a50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b7edaa9b4677f9bd95b0afd7a509b9"/>
                    <pic:cNvPicPr>
                      <a:picLocks noChangeAspect="1"/>
                    </pic:cNvPicPr>
                  </pic:nvPicPr>
                  <pic:blipFill>
                    <a:blip r:embed="rId9"/>
                    <a:stretch>
                      <a:fillRect/>
                    </a:stretch>
                  </pic:blipFill>
                  <pic:spPr>
                    <a:xfrm>
                      <a:off x="0" y="0"/>
                      <a:ext cx="2411730" cy="2396490"/>
                    </a:xfrm>
                    <a:prstGeom prst="rect">
                      <a:avLst/>
                    </a:prstGeom>
                  </pic:spPr>
                </pic:pic>
              </a:graphicData>
            </a:graphic>
          </wp:inline>
        </w:drawing>
      </w:r>
    </w:p>
    <w:p w14:paraId="7E366EE2">
      <w:pPr>
        <w:spacing w:line="240" w:lineRule="auto"/>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次中小学营养指导员培训为汉阳区学生营养工作开展奠定了良好的基础。未来，区教育局将持续关注学生膳食营养工作进展，定期组织后续培训和交流活动，不断提升学生膳食营养管理水平。同时，加强与卫生、市场监管等部门的协作，形成工作合力，共同为学生的健康成长创造良好的饮食环境，健康快乐成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汉仪劲楷简">
    <w:panose1 w:val="00020600040101010101"/>
    <w:charset w:val="86"/>
    <w:family w:val="auto"/>
    <w:pitch w:val="default"/>
    <w:sig w:usb0="A00002BF" w:usb1="18EF7CFA" w:usb2="00000016" w:usb3="00000000" w:csb0="00040000" w:csb1="00000000"/>
  </w:font>
  <w:font w:name="汉仪晴空体简">
    <w:panose1 w:val="00020600040101010101"/>
    <w:charset w:val="86"/>
    <w:family w:val="auto"/>
    <w:pitch w:val="default"/>
    <w:sig w:usb0="A00002BF" w:usb1="18EF7CFA" w:usb2="00000016" w:usb3="00000000" w:csb0="0004009F" w:csb1="DFD70000"/>
  </w:font>
  <w:font w:name="微软雅黑 Light">
    <w:panose1 w:val="020B0502040204020203"/>
    <w:charset w:val="86"/>
    <w:family w:val="auto"/>
    <w:pitch w:val="default"/>
    <w:sig w:usb0="80000287" w:usb1="2ACF001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汉仪游园体W">
    <w:panose1 w:val="00020600040101010101"/>
    <w:charset w:val="86"/>
    <w:family w:val="auto"/>
    <w:pitch w:val="default"/>
    <w:sig w:usb0="8000003F" w:usb1="2A09001A" w:usb2="00000016" w:usb3="00000000" w:csb0="0004009F" w:csb1="00000000"/>
  </w:font>
  <w:font w:name="Sitka Heading">
    <w:panose1 w:val="02000505000000020004"/>
    <w:charset w:val="00"/>
    <w:family w:val="auto"/>
    <w:pitch w:val="default"/>
    <w:sig w:usb0="A00002EF" w:usb1="4000204B" w:usb2="00000000" w:usb3="00000000" w:csb0="2000019F" w:csb1="00000000"/>
  </w:font>
  <w:font w:name="方正楷体_GB2312">
    <w:altName w:val="方正楷体_GB2312"/>
    <w:panose1 w:val="02000000000000000000"/>
    <w:charset w:val="86"/>
    <w:family w:val="auto"/>
    <w:pitch w:val="default"/>
    <w:sig w:usb0="A00002BF" w:usb1="184F6CFA" w:usb2="00000012" w:usb3="00000000" w:csb0="00040001" w:csb1="00000000"/>
    <w:embedRegular r:id="rId1" w:fontKey="{874322AF-D7CA-4E29-B3AB-26E13D2FE521}"/>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2" w:fontKey="{D832426A-0CC1-4E62-BA8F-812619F8E9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52892"/>
    <w:rsid w:val="0F732CD4"/>
    <w:rsid w:val="5E4A220F"/>
    <w:rsid w:val="62772A31"/>
    <w:rsid w:val="6F85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646</Words>
  <Characters>670</Characters>
  <Lines>0</Lines>
  <Paragraphs>0</Paragraphs>
  <TotalTime>95</TotalTime>
  <ScaleCrop>false</ScaleCrop>
  <LinksUpToDate>false</LinksUpToDate>
  <CharactersWithSpaces>671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2025-06-17T00:39:00Z</dcterms:created>
  <dc:creator>Administrator</dc:creator>
  <cp:lastModifiedBy>王</cp:lastModifiedBy>
  <cp:lastPrinted>2025-06-17T02:05:00Z</cp:lastPrinted>
  <dcterms:modified xsi:type="dcterms:W3CDTF">2025-06-20T05:07:08Z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eyJoZGlkIjoiOGMxNjZmOWYzODU3NDI2N2EyZTg4NDU2ZjcwZjIyN2YiLCJ1c2VySWQiOiI3Mzc0MTY3MDUifQ==</vt:lpwstr>
  </property>
  <property fmtid="{D5CDD505-2E9C-101B-9397-08002B2CF9AE}" pid="4" name="ICV">
    <vt:lpwstr>0386B6A8C65A4D80AEC418C186077914_12</vt:lpwstr>
  </property>
</Properties>
</file>